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bookmarkStart w:id="0" w:name="_GoBack"/>
      <w:bookmarkEnd w:id="0"/>
      <w:r>
        <w:rPr>
          <w:rFonts w:ascii="Sylfaen" w:eastAsia="Times New Roman" w:hAnsi="Sylfaen" w:cs="Sylfaen"/>
          <w:noProof/>
          <w:sz w:val="24"/>
          <w:szCs w:val="24"/>
          <w:lang w:val="en-US"/>
        </w:rPr>
        <w:t>ვებგვერდი, 06/11/2019</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სარეგისტრაციო კოდი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470230000.10.003.021540</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№520</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5 ნოემბერი ქ. თბილისი</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„ნორმატიული აქტების შესახებ“ საქართველოს ორგანული 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ცვლილება და:</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 დადგენილების მე-4 მუხლის: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 ქვეპუნქტი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„ვ“ და „ვ</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ქვეპუნქტები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w:t>
      </w:r>
      <w:r>
        <w:rPr>
          <w:rFonts w:ascii="Sylfaen" w:eastAsia="Times New Roman" w:hAnsi="Sylfaen" w:cs="Sylfaen"/>
          <w:noProof/>
          <w:sz w:val="24"/>
          <w:szCs w:val="24"/>
          <w:lang w:val="en-US"/>
        </w:rPr>
        <w:lastRenderedPageBreak/>
        <w:t>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საჯარო სკოლის მასწავლებლები;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საჯარო სკოლის ადმინისტრაციულ-ტექნიკური პერსონალი;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სახელმწიფოს მიერ დაფუძნებული პროფესიული საგანმანათლებლო დაწესებულების მასწავლებლები;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w:t>
      </w:r>
      <w:r>
        <w:rPr>
          <w:rFonts w:ascii="Sylfaen" w:eastAsia="Times New Roman" w:hAnsi="Sylfaen" w:cs="Sylfaen"/>
          <w:noProof/>
          <w:sz w:val="24"/>
          <w:szCs w:val="24"/>
          <w:lang w:val="en-US"/>
        </w:rPr>
        <w:lastRenderedPageBreak/>
        <w:t>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დადგენილებით დამტკიცებული №1 დანართის (საყოველთაო ჯანმრთელობის დაცვის სახელმწიფო პროგრამა):</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მე-2 მუხლის მე-2 პუნქტის „ა“ ქვეპუნქტის „ა.ზ“ ქვეპუნქტი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ამ დადგენილების მე-4 მუხლის „ვ“ ქვეპუნქტის „ვ.ა“ – „ვ.ზ“ და „ვ.ი“ ქვეპუნქტებით განსაზღვრული პირები;“;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მე-8 მუხლის მე-4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მე-11 მუხლს დაემატოს შემდეგი შინაარსის მე-7 პუნქტი: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ამ მუხლის პირველი, 1</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მე-15 მუხლის: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მე-2 პუნქტის „ლ“ ქვეპუნქტი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მე-7 პუნქტის შემდეგ დაემატოს შემდეგი შინაარსის მე-8 პუნქტი: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მე-18 მუხლის პირველი პუნქტის „ა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ქვეპუნქტი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მატერიალიზებული ვაუჩერის გაცემა (გარდა მშობიარობისა და საკეისრო კვეთისა);“;</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22-ე მუხლის: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დადგენილების №1.1 დანართის („სამედიცინო მომსახურების პირობები ამ დადგენილების დანართ №1-ის მე-2 მუხლის პირველი პუნქტით განსაზღვრული მოსარგებლეებისათვის“) მე-2 პუნქტის: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 ქვეპუნქტი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„ო“ ქვეპუნქტის შემდეგ დაემატოს შემდეგი შინაარსის „პ“ ქვეპუნქტი: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დადგენილების №1.2 დანართის (გადაუდებელი ამბულატორიული და სტაციონარული მომსახურების პირობები) მე-2 პუნქტის „ა“ ქვეპუნქტით (კრიტიკული მდგომარეობები/ინტენსიური თერაპია) განსაზღვრული „კრიტიკული მდგომარეობები/ინტენსიური თერაპიის ტარიფები (ლარი)“ ჩამოყალიბდეს შემდეგი რედაქციით:</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lang w:val="en-US"/>
        </w:rPr>
      </w:pPr>
      <w:r>
        <w:rPr>
          <w:rFonts w:ascii="Sylfaen" w:eastAsia="Times New Roman" w:hAnsi="Sylfaen" w:cs="Sylfaen"/>
          <w:b/>
          <w:bCs/>
          <w:noProof/>
          <w:color w:val="333333"/>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1078"/>
        <w:gridCol w:w="2488"/>
        <w:gridCol w:w="2387"/>
        <w:gridCol w:w="1640"/>
        <w:gridCol w:w="369"/>
        <w:gridCol w:w="1382"/>
      </w:tblGrid>
      <w:tr w:rsidR="001E225C">
        <w:trPr>
          <w:trHeight w:val="300"/>
        </w:trPr>
        <w:tc>
          <w:tcPr>
            <w:tcW w:w="9344" w:type="dxa"/>
            <w:gridSpan w:val="6"/>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კრიტიკული მდგომარეობების/ინტენსიური თერაპიის ტარიფები (ლარი)</w:t>
            </w:r>
            <w:r>
              <w:rPr>
                <w:rFonts w:ascii="Sylfaen" w:hAnsi="Sylfaen" w:cs="Sylfaen"/>
                <w:noProof/>
                <w:sz w:val="20"/>
                <w:szCs w:val="20"/>
                <w:lang w:val="en-US"/>
              </w:rPr>
              <w:t>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დონე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 14 ს/დ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14ს/დ  ≤ 21ს/დ </w:t>
            </w:r>
          </w:p>
        </w:tc>
        <w:tc>
          <w:tcPr>
            <w:tcW w:w="2009"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21ს/დ  ≤ 45ს/დ </w:t>
            </w:r>
          </w:p>
        </w:tc>
        <w:tc>
          <w:tcPr>
            <w:tcW w:w="1382"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&gt;45ს/დ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009"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382"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c>
          <w:tcPr>
            <w:tcW w:w="2009"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382"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1E225C">
        <w:tc>
          <w:tcPr>
            <w:tcW w:w="9344" w:type="dxa"/>
            <w:gridSpan w:val="6"/>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ნეონატალური ასაკის (ნეონატალურ ასაკში დაწყებული) ინტენსიური მოვლა/მკურნალობა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6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c>
          <w:tcPr>
            <w:tcW w:w="16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ჩანაცვლებითი თერაპია (1 სეანსი) </w:t>
            </w:r>
          </w:p>
        </w:tc>
        <w:tc>
          <w:tcPr>
            <w:tcW w:w="3391" w:type="dxa"/>
            <w:gridSpan w:val="3"/>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2"/>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სისხლისა და სისხლის კომპონენტების გადასხმა (ერთი ტრანსფუზია) </w:t>
            </w:r>
          </w:p>
        </w:tc>
        <w:tc>
          <w:tcPr>
            <w:tcW w:w="3391" w:type="dxa"/>
            <w:gridSpan w:val="3"/>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1E225C">
        <w:tc>
          <w:tcPr>
            <w:tcW w:w="107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369"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2"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333333"/>
          <w:sz w:val="24"/>
          <w:szCs w:val="24"/>
          <w:lang w:val="en-US"/>
        </w:rPr>
      </w:pPr>
      <w:r>
        <w:rPr>
          <w:rFonts w:ascii="Sylfaen" w:eastAsia="Times New Roman" w:hAnsi="Sylfaen" w:cs="Sylfaen"/>
          <w:b/>
          <w:bCs/>
          <w:noProof/>
          <w:color w:val="333333"/>
          <w:sz w:val="24"/>
          <w:szCs w:val="24"/>
          <w:lang w:val="en-US"/>
        </w:rPr>
        <w:t>“.</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დადგენილების №1.2 დანართის (გადაუდებელი ამბულატორიული და სტაციონარული მომსახურების პირობები) მე-2 პუნქტის „ბ“ ქვეპუნქტით (გადაუდებელი მდგომარეობები) განსაზღვრული ცხრილის: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7.4 პუნქტი ჩამოყალიბდეს შემდეგი რედაქციით:</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1005"/>
        <w:gridCol w:w="2265"/>
        <w:gridCol w:w="705"/>
        <w:gridCol w:w="2070"/>
        <w:gridCol w:w="2035"/>
        <w:gridCol w:w="1560"/>
      </w:tblGrid>
      <w:tr w:rsidR="001E225C">
        <w:trPr>
          <w:trHeight w:val="195"/>
        </w:trPr>
        <w:tc>
          <w:tcPr>
            <w:tcW w:w="42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7.4. </w:t>
            </w:r>
          </w:p>
        </w:tc>
        <w:tc>
          <w:tcPr>
            <w:tcW w:w="10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K25/K26 / K27/ K92.2 </w:t>
            </w:r>
          </w:p>
        </w:tc>
        <w:tc>
          <w:tcPr>
            <w:tcW w:w="226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კუჭის წყლული/ თორმეტგოჯა ნაწლავის წყლული/ პეპტიკური წყლული დაუზუსტებელი/ გასტროინტესტინური სისხლდენა, დაუზუსტებელი </w:t>
            </w:r>
          </w:p>
        </w:tc>
        <w:tc>
          <w:tcPr>
            <w:tcW w:w="7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JDS </w:t>
            </w:r>
          </w:p>
        </w:tc>
        <w:tc>
          <w:tcPr>
            <w:tcW w:w="207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კუჭის და თორმეტგოჯა ნაწლავის ქირურგია </w:t>
            </w:r>
          </w:p>
        </w:tc>
        <w:tc>
          <w:tcPr>
            <w:tcW w:w="203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გართულებული სისხლდენით/ პერფორაციით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პერფორირებული წყლულის გაკერვა, სისხლმდენი წყლულის ამოკერვა/  ჰემოსტაზი </w:t>
            </w:r>
          </w:p>
        </w:tc>
        <w:tc>
          <w:tcPr>
            <w:tcW w:w="156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1980</w:t>
            </w:r>
          </w:p>
        </w:tc>
      </w:tr>
    </w:tbl>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7.6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930"/>
        <w:gridCol w:w="2340"/>
        <w:gridCol w:w="885"/>
        <w:gridCol w:w="1890"/>
        <w:gridCol w:w="2190"/>
        <w:gridCol w:w="1140"/>
      </w:tblGrid>
      <w:tr w:rsidR="001E225C">
        <w:trPr>
          <w:trHeight w:val="150"/>
        </w:trPr>
        <w:tc>
          <w:tcPr>
            <w:tcW w:w="42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7.6. </w:t>
            </w:r>
          </w:p>
        </w:tc>
        <w:tc>
          <w:tcPr>
            <w:tcW w:w="93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K25/K26 /K27 / K92.2 </w:t>
            </w:r>
          </w:p>
        </w:tc>
        <w:tc>
          <w:tcPr>
            <w:tcW w:w="23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კუჭის წყლული/ თორმეტგოჯა ნაწლავის წყლული/ პეპტიკური წყლული დაუზუსტებელი/ გასტროინტესტინური სისხლდენა, დაუზუსტებელი </w:t>
            </w:r>
          </w:p>
        </w:tc>
        <w:tc>
          <w:tcPr>
            <w:tcW w:w="88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89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კონსერვატული მკურნალობა </w:t>
            </w:r>
          </w:p>
        </w:tc>
        <w:tc>
          <w:tcPr>
            <w:tcW w:w="219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გართულებული სისხლდენით/ პოსტჰემორაგიული ანემია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ჰემოტრანსფუზია ან მის გარეშე </w:t>
            </w:r>
          </w:p>
        </w:tc>
        <w:tc>
          <w:tcPr>
            <w:tcW w:w="11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r>
    </w:tbl>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8.1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50"/>
        <w:gridCol w:w="900"/>
        <w:gridCol w:w="2340"/>
        <w:gridCol w:w="705"/>
        <w:gridCol w:w="2070"/>
        <w:gridCol w:w="1905"/>
        <w:gridCol w:w="1560"/>
      </w:tblGrid>
      <w:tr w:rsidR="001E225C">
        <w:trPr>
          <w:trHeight w:val="975"/>
        </w:trPr>
        <w:tc>
          <w:tcPr>
            <w:tcW w:w="45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„8.1. </w:t>
            </w:r>
          </w:p>
        </w:tc>
        <w:tc>
          <w:tcPr>
            <w:tcW w:w="90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K56.1 / K56.2/ K56.3/ K56.4/ K56.5/ K56.6 </w:t>
            </w:r>
          </w:p>
        </w:tc>
        <w:tc>
          <w:tcPr>
            <w:tcW w:w="23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ნაწლავთა ჩაჭედვა (ინვაგინაცია)/ ნაწლავის შემოგრეხა/ გაუვალობა, გამოწვეული ნაღვლოვანი კენჭით/ ნაწლავის სანათურის სხვა ფორმის დახშობა/ ნაწლავის შეხორცებები (ჭიმები) ნაწლავის გაუვალობით/ სხვა და დაუზუსტებელი ნაწლავის ობსტრუქცია </w:t>
            </w:r>
          </w:p>
        </w:tc>
        <w:tc>
          <w:tcPr>
            <w:tcW w:w="7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JFS </w:t>
            </w:r>
          </w:p>
        </w:tc>
        <w:tc>
          <w:tcPr>
            <w:tcW w:w="207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ნაწლავების ქირურგია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9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56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2450</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11.4, 11.5 და 11.6 პუნქტები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4"/>
          <w:szCs w:val="24"/>
          <w:lang w:val="en-US"/>
        </w:rPr>
      </w:pPr>
      <w:r>
        <w:rPr>
          <w:rFonts w:ascii="Sylfaen" w:eastAsia="Times New Roman" w:hAnsi="Sylfaen" w:cs="Sylfaen"/>
          <w:noProof/>
          <w:color w:val="333333"/>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555"/>
        <w:gridCol w:w="780"/>
        <w:gridCol w:w="2340"/>
        <w:gridCol w:w="1005"/>
        <w:gridCol w:w="1980"/>
        <w:gridCol w:w="1980"/>
        <w:gridCol w:w="1275"/>
      </w:tblGrid>
      <w:tr w:rsidR="001E225C">
        <w:trPr>
          <w:trHeight w:val="240"/>
        </w:trPr>
        <w:tc>
          <w:tcPr>
            <w:tcW w:w="55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„11.4. </w:t>
            </w:r>
          </w:p>
        </w:tc>
        <w:tc>
          <w:tcPr>
            <w:tcW w:w="7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K65.0/ K65.8/ K65.9 </w:t>
            </w:r>
          </w:p>
        </w:tc>
        <w:tc>
          <w:tcPr>
            <w:tcW w:w="23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მწვავე პერიტონიტი/ პერიტონიტის სხვა სახეები/პერიტონიტი დაუზუსტებელი </w:t>
            </w:r>
          </w:p>
        </w:tc>
        <w:tc>
          <w:tcPr>
            <w:tcW w:w="10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JASH00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JASK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JFS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JKSA20 </w:t>
            </w:r>
          </w:p>
        </w:tc>
        <w:tc>
          <w:tcPr>
            <w:tcW w:w="19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ლაპაროტომია, გამომწვევი მიზეზის ლიკვიდაცია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პერიტონეუმის ღრუს დრენირება და გამორეცხვა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ნაწლავების ქირურგია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ქოლეცისტექტომია </w:t>
            </w:r>
          </w:p>
        </w:tc>
        <w:tc>
          <w:tcPr>
            <w:tcW w:w="19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ჩირქოვანი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რეაქტიული სტადია (პირველი 24 საათი); ორგანოზე ჩარევით (არ იგულისხმება აპენდექტომია და ულცერორაფია)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მითითებული ჩარევების ნებისმიერი კომბინაცია </w:t>
            </w:r>
          </w:p>
        </w:tc>
        <w:tc>
          <w:tcPr>
            <w:tcW w:w="12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2450 </w:t>
            </w:r>
          </w:p>
        </w:tc>
      </w:tr>
      <w:tr w:rsidR="001E225C">
        <w:trPr>
          <w:trHeight w:val="240"/>
        </w:trPr>
        <w:tc>
          <w:tcPr>
            <w:tcW w:w="55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111.5. </w:t>
            </w:r>
          </w:p>
        </w:tc>
        <w:tc>
          <w:tcPr>
            <w:tcW w:w="7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K65.0 / K65.8 / </w:t>
            </w:r>
            <w:r>
              <w:rPr>
                <w:rFonts w:ascii="Sylfaen" w:hAnsi="Sylfaen" w:cs="Sylfaen"/>
                <w:noProof/>
                <w:color w:val="333333"/>
                <w:sz w:val="20"/>
                <w:szCs w:val="20"/>
                <w:lang w:val="en-US"/>
              </w:rPr>
              <w:lastRenderedPageBreak/>
              <w:t xml:space="preserve">K65.9 </w:t>
            </w:r>
          </w:p>
        </w:tc>
        <w:tc>
          <w:tcPr>
            <w:tcW w:w="23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მწვავე პერიტონიტი/ პერიტონიტის სხვა </w:t>
            </w:r>
            <w:r>
              <w:rPr>
                <w:rFonts w:ascii="Sylfaen" w:eastAsia="Times New Roman" w:hAnsi="Sylfaen" w:cs="Sylfaen"/>
                <w:noProof/>
                <w:color w:val="333333"/>
                <w:sz w:val="20"/>
                <w:szCs w:val="20"/>
                <w:lang w:val="en-US"/>
              </w:rPr>
              <w:lastRenderedPageBreak/>
              <w:t xml:space="preserve">სახეები/პერიტონიტი დაუზუსტებელი </w:t>
            </w:r>
          </w:p>
        </w:tc>
        <w:tc>
          <w:tcPr>
            <w:tcW w:w="10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JASH00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JASK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JFS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JKSA20 </w:t>
            </w:r>
          </w:p>
        </w:tc>
        <w:tc>
          <w:tcPr>
            <w:tcW w:w="19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ლაპაროტომია, გამომწვევი მიზეზის </w:t>
            </w:r>
            <w:r>
              <w:rPr>
                <w:rFonts w:ascii="Sylfaen" w:eastAsia="Times New Roman" w:hAnsi="Sylfaen" w:cs="Sylfaen"/>
                <w:noProof/>
                <w:color w:val="333333"/>
                <w:sz w:val="20"/>
                <w:szCs w:val="20"/>
                <w:lang w:val="en-US"/>
              </w:rPr>
              <w:lastRenderedPageBreak/>
              <w:t xml:space="preserve">ლიკვიდაცია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პერიტონეუმის ღრუს დრენირება და გამორეცხვა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ნაწლავების ქირურგია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ქოლეცისტექტომია </w:t>
            </w:r>
          </w:p>
        </w:tc>
        <w:tc>
          <w:tcPr>
            <w:tcW w:w="19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ჩირქოვანი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ტოქსიკური სტადია </w:t>
            </w:r>
            <w:r>
              <w:rPr>
                <w:rFonts w:ascii="Sylfaen" w:eastAsia="Times New Roman" w:hAnsi="Sylfaen" w:cs="Sylfaen"/>
                <w:noProof/>
                <w:color w:val="333333"/>
                <w:sz w:val="20"/>
                <w:szCs w:val="20"/>
                <w:lang w:val="en-US"/>
              </w:rPr>
              <w:lastRenderedPageBreak/>
              <w:t xml:space="preserve">(25 -72 საათი) ორგანოზე ჩარევით (არ იგულისხმება აპენდექტომია და ულცერორაფია)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მითითებული ჩარევების ნებისმიერი კომბინაცია </w:t>
            </w:r>
          </w:p>
        </w:tc>
        <w:tc>
          <w:tcPr>
            <w:tcW w:w="12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2463 </w:t>
            </w:r>
          </w:p>
        </w:tc>
      </w:tr>
      <w:tr w:rsidR="001E225C">
        <w:trPr>
          <w:trHeight w:val="60"/>
        </w:trPr>
        <w:tc>
          <w:tcPr>
            <w:tcW w:w="55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111.6. </w:t>
            </w:r>
          </w:p>
        </w:tc>
        <w:tc>
          <w:tcPr>
            <w:tcW w:w="7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K65.0 / K65.8 / K65.9 </w:t>
            </w:r>
          </w:p>
        </w:tc>
        <w:tc>
          <w:tcPr>
            <w:tcW w:w="23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მწვავე პერიტონიტი/ პერიტონიტის სხვა სახეები/პერიტონიტი დაუზუსტებელი (ჩირქოვანი) </w:t>
            </w:r>
          </w:p>
        </w:tc>
        <w:tc>
          <w:tcPr>
            <w:tcW w:w="10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JASH00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JASK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JFS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JKSA20 </w:t>
            </w:r>
          </w:p>
        </w:tc>
        <w:tc>
          <w:tcPr>
            <w:tcW w:w="19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ლაპაროტომია, გამომწვევი მიზეზის ლიკვიდაცია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პერიტონეუმის ღრუს დრენირება და გამორეცხვა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ნაწლავების ქირურგია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ქოლეცისტექტომია </w:t>
            </w:r>
          </w:p>
        </w:tc>
        <w:tc>
          <w:tcPr>
            <w:tcW w:w="19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ჩირქოვანი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მითითებული ჩარევების ნებისმიერი კომბინაცია </w:t>
            </w:r>
          </w:p>
        </w:tc>
        <w:tc>
          <w:tcPr>
            <w:tcW w:w="12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2550</w:t>
            </w:r>
          </w:p>
        </w:tc>
      </w:tr>
    </w:tbl>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17.1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543"/>
        <w:gridCol w:w="743"/>
        <w:gridCol w:w="2043"/>
        <w:gridCol w:w="1028"/>
        <w:gridCol w:w="1799"/>
        <w:gridCol w:w="2086"/>
        <w:gridCol w:w="1085"/>
      </w:tblGrid>
      <w:tr w:rsidR="001E225C">
        <w:trPr>
          <w:trHeight w:val="8"/>
        </w:trPr>
        <w:tc>
          <w:tcPr>
            <w:tcW w:w="543"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17.1. </w:t>
            </w:r>
          </w:p>
        </w:tc>
        <w:tc>
          <w:tcPr>
            <w:tcW w:w="743"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S06.0 </w:t>
            </w:r>
          </w:p>
        </w:tc>
        <w:tc>
          <w:tcPr>
            <w:tcW w:w="2043"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თავის ტვინის შერყევა </w:t>
            </w:r>
          </w:p>
        </w:tc>
        <w:tc>
          <w:tcPr>
            <w:tcW w:w="102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799"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კონსერვატული მკურნალობა </w:t>
            </w:r>
          </w:p>
        </w:tc>
        <w:tc>
          <w:tcPr>
            <w:tcW w:w="2086"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კტ კვლევის საფუძველზე </w:t>
            </w:r>
          </w:p>
        </w:tc>
        <w:tc>
          <w:tcPr>
            <w:tcW w:w="108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420</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21.6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570"/>
        <w:gridCol w:w="780"/>
        <w:gridCol w:w="2145"/>
        <w:gridCol w:w="1080"/>
        <w:gridCol w:w="1890"/>
        <w:gridCol w:w="2190"/>
        <w:gridCol w:w="1140"/>
      </w:tblGrid>
      <w:tr w:rsidR="001E225C">
        <w:trPr>
          <w:trHeight w:val="105"/>
        </w:trPr>
        <w:tc>
          <w:tcPr>
            <w:tcW w:w="57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21.6.</w:t>
            </w:r>
          </w:p>
        </w:tc>
        <w:tc>
          <w:tcPr>
            <w:tcW w:w="7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S32.7</w:t>
            </w:r>
          </w:p>
        </w:tc>
        <w:tc>
          <w:tcPr>
            <w:tcW w:w="214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ხერხემლის გავა-წელის ნაწილის და მენჯის მრავლობითი მოტეხილობა</w:t>
            </w:r>
          </w:p>
        </w:tc>
        <w:tc>
          <w:tcPr>
            <w:tcW w:w="108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NASJ99</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NESJ</w:t>
            </w:r>
          </w:p>
        </w:tc>
        <w:tc>
          <w:tcPr>
            <w:tcW w:w="189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ხერხემლის მოტეხილობის სხვა ოპერაცია</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მენჯის მოტეხილობის ქირურგია</w:t>
            </w:r>
          </w:p>
        </w:tc>
        <w:tc>
          <w:tcPr>
            <w:tcW w:w="219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14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24.1 და 24.2 პუნქტები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569"/>
        <w:gridCol w:w="1408"/>
        <w:gridCol w:w="6064"/>
        <w:gridCol w:w="1303"/>
      </w:tblGrid>
      <w:tr w:rsidR="001E225C">
        <w:trPr>
          <w:trHeight w:val="255"/>
        </w:trPr>
        <w:tc>
          <w:tcPr>
            <w:tcW w:w="569"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24.1. </w:t>
            </w:r>
          </w:p>
        </w:tc>
        <w:tc>
          <w:tcPr>
            <w:tcW w:w="140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G45.0 </w:t>
            </w:r>
          </w:p>
        </w:tc>
        <w:tc>
          <w:tcPr>
            <w:tcW w:w="60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ვერტებრო-ბაზილარული არტერიული სინდრომი </w:t>
            </w:r>
          </w:p>
        </w:tc>
        <w:tc>
          <w:tcPr>
            <w:tcW w:w="1303"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500 </w:t>
            </w:r>
          </w:p>
        </w:tc>
      </w:tr>
      <w:tr w:rsidR="001E225C">
        <w:trPr>
          <w:trHeight w:val="255"/>
        </w:trPr>
        <w:tc>
          <w:tcPr>
            <w:tcW w:w="569"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24.2. </w:t>
            </w:r>
          </w:p>
        </w:tc>
        <w:tc>
          <w:tcPr>
            <w:tcW w:w="1408"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G45.9 </w:t>
            </w:r>
          </w:p>
        </w:tc>
        <w:tc>
          <w:tcPr>
            <w:tcW w:w="60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გარდამავალი ცერებრული იშემიური შეტევა, დაუზუსტებელი </w:t>
            </w:r>
          </w:p>
        </w:tc>
        <w:tc>
          <w:tcPr>
            <w:tcW w:w="1303"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400</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24.4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570"/>
        <w:gridCol w:w="1410"/>
        <w:gridCol w:w="6075"/>
        <w:gridCol w:w="1305"/>
      </w:tblGrid>
      <w:tr w:rsidR="001E225C">
        <w:trPr>
          <w:trHeight w:val="255"/>
        </w:trPr>
        <w:tc>
          <w:tcPr>
            <w:tcW w:w="57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24.4. </w:t>
            </w:r>
          </w:p>
        </w:tc>
        <w:tc>
          <w:tcPr>
            <w:tcW w:w="141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G46.8* </w:t>
            </w:r>
          </w:p>
        </w:tc>
        <w:tc>
          <w:tcPr>
            <w:tcW w:w="60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500</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24.13 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705"/>
        <w:gridCol w:w="1260"/>
        <w:gridCol w:w="6090"/>
        <w:gridCol w:w="1305"/>
      </w:tblGrid>
      <w:tr w:rsidR="001E225C">
        <w:trPr>
          <w:trHeight w:val="255"/>
        </w:trPr>
        <w:tc>
          <w:tcPr>
            <w:tcW w:w="7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24.13. </w:t>
            </w:r>
          </w:p>
        </w:tc>
        <w:tc>
          <w:tcPr>
            <w:tcW w:w="126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R10 </w:t>
            </w:r>
          </w:p>
        </w:tc>
        <w:tc>
          <w:tcPr>
            <w:tcW w:w="6090"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მუცლისა და მენჯის ტკივილი (ძლიერი ტკივილი, რომელიც საჭიროებს ჰოსპიტალიზაციას) (იმ შემთხვევებში, როდესაც ჩატარებული კვლევების საფუძველზე საჭიროა რეფერალი პროფილურ კლინიკაში) </w:t>
            </w:r>
          </w:p>
        </w:tc>
        <w:tc>
          <w:tcPr>
            <w:tcW w:w="13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24.16 და 24.17 პუნქტები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tbl>
      <w:tblPr>
        <w:tblW w:w="0" w:type="auto"/>
        <w:tblInd w:w="15" w:type="dxa"/>
        <w:tblLayout w:type="fixed"/>
        <w:tblCellMar>
          <w:left w:w="15" w:type="dxa"/>
          <w:right w:w="15" w:type="dxa"/>
        </w:tblCellMar>
        <w:tblLook w:val="0000" w:firstRow="0" w:lastRow="0" w:firstColumn="0" w:lastColumn="0" w:noHBand="0" w:noVBand="0"/>
      </w:tblPr>
      <w:tblGrid>
        <w:gridCol w:w="705"/>
        <w:gridCol w:w="1275"/>
        <w:gridCol w:w="6075"/>
        <w:gridCol w:w="1305"/>
      </w:tblGrid>
      <w:tr w:rsidR="001E225C">
        <w:trPr>
          <w:trHeight w:val="255"/>
        </w:trPr>
        <w:tc>
          <w:tcPr>
            <w:tcW w:w="7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24.16. </w:t>
            </w:r>
          </w:p>
        </w:tc>
        <w:tc>
          <w:tcPr>
            <w:tcW w:w="12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I50 </w:t>
            </w:r>
          </w:p>
        </w:tc>
        <w:tc>
          <w:tcPr>
            <w:tcW w:w="60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უკმარისობა (გულის ქრონიკული უკმარისობა III ან IV კლასი NYHA კლასიფიკაციით) </w:t>
            </w:r>
          </w:p>
        </w:tc>
        <w:tc>
          <w:tcPr>
            <w:tcW w:w="13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629 </w:t>
            </w:r>
          </w:p>
        </w:tc>
      </w:tr>
      <w:tr w:rsidR="001E225C">
        <w:trPr>
          <w:trHeight w:val="255"/>
        </w:trPr>
        <w:tc>
          <w:tcPr>
            <w:tcW w:w="7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24.17. </w:t>
            </w:r>
          </w:p>
        </w:tc>
        <w:tc>
          <w:tcPr>
            <w:tcW w:w="12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607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გულყრის შემდგომი სტაციონარული დაკვირვება (ZYZX80)  </w:t>
            </w:r>
          </w:p>
        </w:tc>
        <w:tc>
          <w:tcPr>
            <w:tcW w:w="1305"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711</w:t>
            </w:r>
          </w:p>
        </w:tc>
      </w:tr>
    </w:tbl>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დადგენილების №1.3 დანართის (სამედიცინო მომსახურების პირობები ამ დადგენილების დანართ №1-ის მე-2 მუხლის მე-2 პუნქტით განსაზღვრული მოსარგებლეებისათვის) მე-3 პუნქტს დაემატოს შემდეგი შინაარსის „ლ“ ქვეპუნქტი: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დადგენილების №1.4 დანართის (სამედიცინო მომსახურების პირობები ამ დადგენილების დანართ №1-ის მე-2 მუხლის მე-3 პუნქტით განსაზღვრული მოსარგებლეებისათვის) მე-2 პუნქტის: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 ქვეპუნქტი ჩამოყალიბდეს შემდეგი რედაქციით:</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„ო“ ქვეპუნქტის შემდეგ დაემატოს შემდეგი შინაარსის „პ“ ქვეპუნქტი: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დადგენილებას დაემატოს შემდეგი შინაარსის დანართი №1.8 – (პროგრამით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№1.8</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tbl>
      <w:tblPr>
        <w:tblW w:w="0" w:type="auto"/>
        <w:tblInd w:w="15" w:type="dxa"/>
        <w:tblLayout w:type="fixed"/>
        <w:tblCellMar>
          <w:left w:w="15" w:type="dxa"/>
          <w:right w:w="15" w:type="dxa"/>
        </w:tblCellMar>
        <w:tblLook w:val="0000" w:firstRow="0" w:lastRow="0" w:firstColumn="0" w:lastColumn="0" w:noHBand="0" w:noVBand="0"/>
      </w:tblPr>
      <w:tblGrid>
        <w:gridCol w:w="854"/>
        <w:gridCol w:w="7037"/>
        <w:gridCol w:w="1964"/>
      </w:tblGrid>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1E225C">
        <w:trPr>
          <w:trHeight w:val="51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1E225C">
        <w:trPr>
          <w:trHeight w:val="102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15500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1E225C">
        <w:trPr>
          <w:trHeight w:val="72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16CAR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1E225C">
        <w:trPr>
          <w:trHeight w:val="1275"/>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1E225C">
        <w:trPr>
          <w:trHeight w:val="300"/>
        </w:trPr>
        <w:tc>
          <w:tcPr>
            <w:tcW w:w="85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37"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964" w:type="dxa"/>
            <w:tcBorders>
              <w:top w:val="single" w:sz="6" w:space="0" w:color="auto"/>
              <w:left w:val="single" w:sz="6" w:space="0" w:color="auto"/>
              <w:bottom w:val="single" w:sz="6" w:space="0" w:color="auto"/>
              <w:right w:val="single" w:sz="6" w:space="0" w:color="auto"/>
            </w:tcBorders>
            <w:vAlign w:val="center"/>
          </w:tcPr>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გადაუდებელი სტაციონარული მომსახურების და/ან კარდიოქირურგია/ინტერვენციული კარდიოლოგიის/რითმოლოგიის 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ამ დადგენილების პირველი მუხლის მე-2 პუნქტის „ვ“ ქვეპუნქტის, მე-4 და მე-8 პუნქტების 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გამოქვეყნებისთანავე, გარდა დადგენილების პირველი მუხლის პირველი პუნქტის „ბ“ ქვეპუნქტის, მეორე პუნქტის „ა“ და „ვ“ ქვეპუნქტების, მე-3 პუნქტის „ა“ ქვეპუნქტის, მე-4 პუნქტის, მე-7 პუნქტის „ა“ ქვეპუნქტისა და  მე-8 პუნქტისა. ამასთან, პირველი მუხლის პირველი პუნქტის „ბ“ ქვეპუნქტი და მე-2 პუნქტის „ა“ ქვეპუნქტი მოქმედებს 2019 წლის 2 სექტემბრიდან, ხოლო მე-2 პუნქტის „ვ“ ქვეპუნქტი, მე-3 პუნქტის „ა“ ქვეპუნქტი, მე-4 პუნქტი, მე-7 პუნქტის „ა“ ქვეპუნქტი და მე-8 პუნქტი ამოქმედდეს გამოქვეყნებიდან მე-15 დღეს.</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E225C" w:rsidRDefault="00630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val="en-US"/>
        </w:rPr>
      </w:pPr>
      <w:r>
        <w:rPr>
          <w:rFonts w:ascii="Sylfaen" w:eastAsia="Times New Roman" w:hAnsi="Sylfaen" w:cs="Sylfaen"/>
          <w:noProof/>
          <w:sz w:val="24"/>
          <w:szCs w:val="24"/>
          <w:lang w:val="en-US"/>
        </w:rPr>
        <w:t xml:space="preserve">პრემიერ - მინისტრი                                                                 </w:t>
      </w:r>
      <w:r>
        <w:rPr>
          <w:rFonts w:ascii="Sylfaen" w:eastAsia="Times New Roman" w:hAnsi="Sylfaen" w:cs="Sylfaen"/>
          <w:b/>
          <w:bCs/>
          <w:i/>
          <w:iCs/>
          <w:noProof/>
          <w:sz w:val="24"/>
          <w:szCs w:val="24"/>
          <w:lang w:val="en-US"/>
        </w:rPr>
        <w:t>გიორგი გახარია</w:t>
      </w:r>
    </w:p>
    <w:p w:rsidR="001E225C" w:rsidRDefault="001E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val="en-US"/>
        </w:rPr>
      </w:pPr>
    </w:p>
    <w:sectPr w:rsidR="001E225C">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CF" w:rsidRDefault="001147CF" w:rsidP="00630107">
      <w:pPr>
        <w:spacing w:after="0" w:line="240" w:lineRule="auto"/>
      </w:pPr>
      <w:r>
        <w:separator/>
      </w:r>
    </w:p>
  </w:endnote>
  <w:endnote w:type="continuationSeparator" w:id="0">
    <w:p w:rsidR="001147CF" w:rsidRDefault="001147CF" w:rsidP="0063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07" w:rsidRDefault="00630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630107" w:rsidTr="00630107">
      <w:tc>
        <w:tcPr>
          <w:tcW w:w="5090" w:type="dxa"/>
          <w:shd w:val="clear" w:color="auto" w:fill="auto"/>
        </w:tcPr>
        <w:p w:rsidR="00630107" w:rsidRPr="00630107" w:rsidRDefault="00630107" w:rsidP="00630107">
          <w:pPr>
            <w:pStyle w:val="Footer"/>
            <w:spacing w:after="0" w:line="240" w:lineRule="auto"/>
            <w:rPr>
              <w:rFonts w:ascii="Sylfaen" w:hAnsi="Sylfaen"/>
              <w:noProof/>
              <w:sz w:val="16"/>
            </w:rPr>
          </w:pPr>
          <w:r w:rsidRPr="00630107">
            <w:rPr>
              <w:rFonts w:ascii="Sylfaen" w:hAnsi="Sylfaen"/>
              <w:noProof/>
              <w:sz w:val="16"/>
            </w:rPr>
            <w:t>5 ნოემბერი 2019  საქართველოს მთავრობა  დადგენილება N 520</w:t>
          </w:r>
        </w:p>
      </w:tc>
      <w:tc>
        <w:tcPr>
          <w:tcW w:w="5090" w:type="dxa"/>
          <w:shd w:val="clear" w:color="auto" w:fill="auto"/>
        </w:tcPr>
        <w:p w:rsidR="00630107" w:rsidRPr="00630107" w:rsidRDefault="00630107" w:rsidP="00630107">
          <w:pPr>
            <w:pStyle w:val="Footer"/>
            <w:spacing w:after="0" w:line="240" w:lineRule="auto"/>
            <w:jc w:val="right"/>
            <w:rPr>
              <w:rFonts w:ascii="Sylfaen" w:hAnsi="Sylfaen"/>
              <w:noProof/>
              <w:sz w:val="16"/>
            </w:rPr>
          </w:pPr>
          <w:r w:rsidRPr="00630107">
            <w:rPr>
              <w:rFonts w:ascii="Sylfaen" w:hAnsi="Sylfaen"/>
              <w:noProof/>
              <w:sz w:val="16"/>
            </w:rPr>
            <w:t xml:space="preserve"> [ ამოღებულია ბაზიდან  : 12 დეკემბერი 2019 ]</w:t>
          </w:r>
        </w:p>
      </w:tc>
    </w:tr>
    <w:tr w:rsidR="00630107" w:rsidTr="00630107">
      <w:tc>
        <w:tcPr>
          <w:tcW w:w="5090" w:type="dxa"/>
          <w:shd w:val="clear" w:color="auto" w:fill="auto"/>
        </w:tcPr>
        <w:p w:rsidR="00630107" w:rsidRDefault="00630107" w:rsidP="00630107">
          <w:pPr>
            <w:pStyle w:val="Footer"/>
            <w:spacing w:after="0" w:line="240" w:lineRule="auto"/>
          </w:pPr>
        </w:p>
      </w:tc>
      <w:tc>
        <w:tcPr>
          <w:tcW w:w="5090" w:type="dxa"/>
          <w:shd w:val="clear" w:color="auto" w:fill="auto"/>
        </w:tcPr>
        <w:p w:rsidR="00630107" w:rsidRPr="00630107" w:rsidRDefault="00630107" w:rsidP="00630107">
          <w:pPr>
            <w:pStyle w:val="Footer"/>
            <w:spacing w:after="0" w:line="240" w:lineRule="auto"/>
            <w:jc w:val="right"/>
            <w:rPr>
              <w:rFonts w:ascii="Sylfaen" w:hAnsi="Sylfaen"/>
              <w:noProof/>
              <w:sz w:val="16"/>
            </w:rPr>
          </w:pPr>
        </w:p>
      </w:tc>
    </w:tr>
  </w:tbl>
  <w:p w:rsidR="00630107" w:rsidRPr="00630107" w:rsidRDefault="00630107" w:rsidP="006301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07" w:rsidRDefault="00630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CF" w:rsidRDefault="001147CF" w:rsidP="00630107">
      <w:pPr>
        <w:spacing w:after="0" w:line="240" w:lineRule="auto"/>
      </w:pPr>
      <w:r>
        <w:separator/>
      </w:r>
    </w:p>
  </w:footnote>
  <w:footnote w:type="continuationSeparator" w:id="0">
    <w:p w:rsidR="001147CF" w:rsidRDefault="001147CF" w:rsidP="00630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07" w:rsidRDefault="00630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630107" w:rsidTr="00630107">
      <w:tc>
        <w:tcPr>
          <w:tcW w:w="5090" w:type="dxa"/>
          <w:shd w:val="clear" w:color="auto" w:fill="auto"/>
        </w:tcPr>
        <w:p w:rsidR="00630107" w:rsidRDefault="00630107" w:rsidP="00630107">
          <w:pPr>
            <w:pStyle w:val="Header"/>
            <w:spacing w:after="0" w:line="240" w:lineRule="auto"/>
          </w:pPr>
          <w:r>
            <w:t>Codex R4</w:t>
          </w:r>
        </w:p>
      </w:tc>
      <w:tc>
        <w:tcPr>
          <w:tcW w:w="5090" w:type="dxa"/>
          <w:shd w:val="clear" w:color="auto" w:fill="auto"/>
        </w:tcPr>
        <w:p w:rsidR="00630107" w:rsidRDefault="00630107" w:rsidP="00630107">
          <w:pPr>
            <w:pStyle w:val="Header"/>
            <w:spacing w:after="0" w:line="240" w:lineRule="auto"/>
            <w:jc w:val="right"/>
          </w:pPr>
          <w:r>
            <w:fldChar w:fldCharType="begin"/>
          </w:r>
          <w:r>
            <w:instrText xml:space="preserve"> PAGE  \* MERGEFORMAT </w:instrText>
          </w:r>
          <w:r>
            <w:fldChar w:fldCharType="separate"/>
          </w:r>
          <w:r w:rsidR="006C1F0D">
            <w:rPr>
              <w:noProof/>
            </w:rPr>
            <w:t>1</w:t>
          </w:r>
          <w:r>
            <w:fldChar w:fldCharType="end"/>
          </w:r>
          <w:r>
            <w:t xml:space="preserve"> of </w:t>
          </w:r>
          <w:r w:rsidR="001147CF">
            <w:fldChar w:fldCharType="begin"/>
          </w:r>
          <w:r w:rsidR="001147CF">
            <w:instrText xml:space="preserve"> NUMPAGES  \* MERGEFORMAT </w:instrText>
          </w:r>
          <w:r w:rsidR="001147CF">
            <w:fldChar w:fldCharType="separate"/>
          </w:r>
          <w:r w:rsidR="006C1F0D">
            <w:rPr>
              <w:noProof/>
            </w:rPr>
            <w:t>10</w:t>
          </w:r>
          <w:r w:rsidR="001147CF">
            <w:rPr>
              <w:noProof/>
            </w:rPr>
            <w:fldChar w:fldCharType="end"/>
          </w:r>
        </w:p>
      </w:tc>
    </w:tr>
  </w:tbl>
  <w:p w:rsidR="00630107" w:rsidRPr="00630107" w:rsidRDefault="00630107" w:rsidP="006301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07" w:rsidRDefault="00630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07"/>
    <w:rsid w:val="001147CF"/>
    <w:rsid w:val="001E225C"/>
    <w:rsid w:val="00630107"/>
    <w:rsid w:val="006C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30107"/>
    <w:pPr>
      <w:tabs>
        <w:tab w:val="center" w:pos="4844"/>
        <w:tab w:val="right" w:pos="9689"/>
      </w:tabs>
    </w:pPr>
  </w:style>
  <w:style w:type="character" w:customStyle="1" w:styleId="HeaderChar">
    <w:name w:val="Header Char"/>
    <w:basedOn w:val="DefaultParagraphFont"/>
    <w:link w:val="Header"/>
    <w:uiPriority w:val="99"/>
    <w:rsid w:val="00630107"/>
    <w:rPr>
      <w:rFonts w:ascii="Calibri" w:hAnsi="Calibri" w:cs="Calibri"/>
      <w:lang w:val="x-none"/>
    </w:rPr>
  </w:style>
  <w:style w:type="paragraph" w:styleId="Footer">
    <w:name w:val="footer"/>
    <w:basedOn w:val="Normal"/>
    <w:link w:val="FooterChar"/>
    <w:uiPriority w:val="99"/>
    <w:unhideWhenUsed/>
    <w:rsid w:val="00630107"/>
    <w:pPr>
      <w:tabs>
        <w:tab w:val="center" w:pos="4844"/>
        <w:tab w:val="right" w:pos="9689"/>
      </w:tabs>
    </w:pPr>
  </w:style>
  <w:style w:type="character" w:customStyle="1" w:styleId="FooterChar">
    <w:name w:val="Footer Char"/>
    <w:basedOn w:val="DefaultParagraphFont"/>
    <w:link w:val="Footer"/>
    <w:uiPriority w:val="99"/>
    <w:rsid w:val="00630107"/>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30107"/>
    <w:pPr>
      <w:tabs>
        <w:tab w:val="center" w:pos="4844"/>
        <w:tab w:val="right" w:pos="9689"/>
      </w:tabs>
    </w:pPr>
  </w:style>
  <w:style w:type="character" w:customStyle="1" w:styleId="HeaderChar">
    <w:name w:val="Header Char"/>
    <w:basedOn w:val="DefaultParagraphFont"/>
    <w:link w:val="Header"/>
    <w:uiPriority w:val="99"/>
    <w:rsid w:val="00630107"/>
    <w:rPr>
      <w:rFonts w:ascii="Calibri" w:hAnsi="Calibri" w:cs="Calibri"/>
      <w:lang w:val="x-none"/>
    </w:rPr>
  </w:style>
  <w:style w:type="paragraph" w:styleId="Footer">
    <w:name w:val="footer"/>
    <w:basedOn w:val="Normal"/>
    <w:link w:val="FooterChar"/>
    <w:uiPriority w:val="99"/>
    <w:unhideWhenUsed/>
    <w:rsid w:val="00630107"/>
    <w:pPr>
      <w:tabs>
        <w:tab w:val="center" w:pos="4844"/>
        <w:tab w:val="right" w:pos="9689"/>
      </w:tabs>
    </w:pPr>
  </w:style>
  <w:style w:type="character" w:customStyle="1" w:styleId="FooterChar">
    <w:name w:val="Footer Char"/>
    <w:basedOn w:val="DefaultParagraphFont"/>
    <w:link w:val="Footer"/>
    <w:uiPriority w:val="99"/>
    <w:rsid w:val="00630107"/>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Base>F:\</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2019-12-12T13:40:00Z</dcterms:created>
  <dcterms:modified xsi:type="dcterms:W3CDTF">2019-12-12T13:40:00Z</dcterms:modified>
</cp:coreProperties>
</file>